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85C83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Описание образовательной программы</w:t>
      </w:r>
    </w:p>
    <w:p w14:paraId="2D66B4F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09.02.07 Информационные системы и программирование</w:t>
      </w:r>
    </w:p>
    <w:p w14:paraId="3B58B353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Область профессиональной деятельности, в которой выпускники,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освоившие образовательную программу, могут осуществлять профессиональную деятельность: </w:t>
      </w:r>
      <w:r>
        <w:rPr>
          <w:rFonts w:hint="default" w:ascii="Times New Roman" w:hAnsi="Times New Roman" w:eastAsia="SimSun" w:cs="Times New Roman"/>
          <w:color w:val="auto"/>
          <w:kern w:val="0"/>
          <w:sz w:val="28"/>
          <w:szCs w:val="28"/>
          <w:lang w:val="en-US" w:eastAsia="zh-CN" w:bidi="ar"/>
        </w:rPr>
        <w:t>06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Связь, информационные и </w:t>
      </w:r>
    </w:p>
    <w:p w14:paraId="6E367CB4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коммуникационные технологии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.</w:t>
      </w:r>
    </w:p>
    <w:p w14:paraId="79CE571E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Образовательная программа имеет следующую структуру: </w:t>
      </w:r>
    </w:p>
    <w:p w14:paraId="26324E0C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общеобразовательный цикл</w:t>
      </w:r>
    </w:p>
    <w:p w14:paraId="12C62618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общий гуманитарный и социально-эко</w:t>
      </w:r>
      <w:bookmarkStart w:id="0" w:name="_GoBack"/>
      <w:bookmarkEnd w:id="0"/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номический цикл; </w:t>
      </w:r>
    </w:p>
    <w:p w14:paraId="0C7463F4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математический и общий естественнонаучный цикл; </w:t>
      </w:r>
    </w:p>
    <w:p w14:paraId="5A0FD030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общепрофессиональный цикл; </w:t>
      </w:r>
    </w:p>
    <w:p w14:paraId="4E4D6C75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профессиональный цикл; </w:t>
      </w:r>
    </w:p>
    <w:p w14:paraId="3CCD0B2C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государственная итоговая аттестация, которая завершается присвоением квалификации специалиста среднего звена, указанной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программист</w:t>
      </w:r>
    </w:p>
    <w:p w14:paraId="76B3C513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 профессиональный цикл образовательной программы входят следующие виды практик: учебная практика и производственная практика.</w:t>
      </w:r>
    </w:p>
    <w:p w14:paraId="32698CD0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Разработка модулей программного обеспечения для компьютерных систем</w:t>
      </w:r>
    </w:p>
    <w:p w14:paraId="0958DB2F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Осуществление интеграции программных модулей</w:t>
      </w:r>
    </w:p>
    <w:p w14:paraId="1ACD79EB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Сопровождение и обслуживание программного обеспечения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компьютерных систем</w:t>
      </w:r>
    </w:p>
    <w:p w14:paraId="017039FB">
      <w:pPr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Разработка, администрирование и защита баз данных</w:t>
      </w:r>
    </w:p>
    <w:p w14:paraId="75C40A00">
      <w:pPr>
        <w:keepNext w:val="0"/>
        <w:keepLines w:val="0"/>
        <w:widowControl/>
        <w:numPr>
          <w:numId w:val="0"/>
        </w:numPr>
        <w:suppressLineNumbers w:val="0"/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5DF5BD3">
      <w:pPr>
        <w:keepNext w:val="0"/>
        <w:keepLines w:val="0"/>
        <w:widowControl/>
        <w:numPr>
          <w:numId w:val="0"/>
        </w:numPr>
        <w:suppressLineNumbers w:val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С копией образовательной программы или её компонентов можно ознакомиться по ссылке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instrText xml:space="preserve"> HYPERLINK "https://tulunagri.ru/sveden/education/program_12884.html#eduPred" </w:instrTex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/>
          <w:b w:val="0"/>
          <w:bCs w:val="0"/>
          <w:sz w:val="28"/>
          <w:szCs w:val="28"/>
          <w:lang w:val="ru-RU"/>
        </w:rPr>
        <w:t>https://tulunagri.ru/sveden/education/program_12884.html#eduPred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fldChar w:fldCharType="end"/>
      </w:r>
    </w:p>
    <w:p w14:paraId="29478D45">
      <w:pPr>
        <w:keepNext w:val="0"/>
        <w:keepLines w:val="0"/>
        <w:widowControl/>
        <w:numPr>
          <w:numId w:val="0"/>
        </w:numPr>
        <w:suppressLineNumbers w:val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72A9F2"/>
    <w:multiLevelType w:val="singleLevel"/>
    <w:tmpl w:val="2372A9F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50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236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2024-11-20T02:28:44Z</dcterms:created>
  <dc:creator>user</dc:creator>
  <cp:lastModifiedBy>Анна Арциховска�</cp:lastModifiedBy>
  <dcterms:modified xsi:type="dcterms:W3CDTF">2024-11-20T07:57:28Z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0504DA91F0C147F4B2ACBD2F1A70C5A2_12</vt:lpwstr>
  </property>
</Properties>
</file>